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Times New Roman"/>
          <w:color w:val="000000"/>
        </w:rPr>
      </w:pPr>
      <w:r>
        <w:rPr>
          <w:rFonts w:eastAsia="Times New Roman" w:cs="Times New Roman" w:ascii="Arial" w:hAnsi="Arial"/>
          <w:color w:val="000000"/>
        </w:rPr>
      </w:r>
    </w:p>
    <w:p>
      <w:pPr>
        <w:pStyle w:val="Normal"/>
        <w:spacing w:lineRule="auto" w:line="240" w:before="0" w:after="0"/>
        <w:rPr/>
      </w:pPr>
      <w:r>
        <w:rPr>
          <w:rFonts w:eastAsia="Times New Roman" w:cs="Times New Roman" w:ascii="Arial" w:hAnsi="Arial"/>
          <w:b/>
          <w:bCs/>
          <w:color w:val="000000"/>
          <w:sz w:val="24"/>
          <w:szCs w:val="24"/>
        </w:rPr>
        <w:t>RESOLUÇÃO CSDP Nº 174, DE 07 DE NOVEMBRO DE 2016.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Web"/>
        <w:widowControl/>
        <w:bidi w:val="0"/>
        <w:spacing w:lineRule="auto" w:line="240" w:beforeAutospacing="0" w:before="0" w:afterAutospacing="0" w:after="0"/>
        <w:ind w:left="4252" w:right="0" w:hanging="0"/>
        <w:jc w:val="both"/>
        <w:rPr/>
      </w:pPr>
      <w:r>
        <w:rPr>
          <w:rFonts w:eastAsia="Times New Roman" w:cs="Times New Roman" w:ascii="Arial" w:hAnsi="Arial"/>
          <w:color w:val="000000"/>
          <w:sz w:val="24"/>
          <w:szCs w:val="24"/>
        </w:rPr>
        <w:t>Aprova a Instrução Normativa CSDP Nº 01/2016, nos termos da Instrução Normativa Conjunta 02/2016, que dispõe sobre a fixação de dias para atendimento e prática de atos judiciais pelas Defensorias Públicas do Estado do Pará.</w:t>
      </w:r>
    </w:p>
    <w:p>
      <w:pPr>
        <w:pStyle w:val="NormalWeb"/>
        <w:widowControl/>
        <w:bidi w:val="0"/>
        <w:spacing w:lineRule="auto" w:line="240" w:beforeAutospacing="0" w:before="0" w:afterAutospacing="0" w:after="0"/>
        <w:ind w:left="4252" w:right="0" w:hanging="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ind w:hanging="0"/>
        <w:jc w:val="both"/>
        <w:rPr>
          <w:b w:val="false"/>
          <w:b w:val="false"/>
          <w:bCs w:val="false"/>
        </w:rPr>
      </w:pPr>
      <w:r>
        <w:rPr>
          <w:rFonts w:cs="Arial" w:ascii="Arial" w:hAnsi="Arial"/>
          <w:b w:val="false"/>
          <w:bCs w:val="false"/>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pPr>
      <w:r>
        <w:rPr>
          <w:rFonts w:cs="Arial" w:ascii="Arial" w:hAnsi="Arial"/>
          <w:b w:val="false"/>
          <w:bCs w:val="false"/>
          <w:sz w:val="24"/>
          <w:szCs w:val="24"/>
        </w:rPr>
        <w:t>CONSIDERANDO o Art. 51, V, do Regimento Interno do Conselho Superior da Defensoria Pública do Estado do Pará;</w:t>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pPr>
      <w:r>
        <w:rPr>
          <w:rFonts w:eastAsia="Times New Roman" w:cs="Times New Roman" w:ascii="Arial" w:hAnsi="Arial"/>
          <w:color w:val="000000"/>
          <w:sz w:val="24"/>
          <w:szCs w:val="24"/>
        </w:rPr>
        <w:t>CONSIDERANDO a deliberação unânime do Egrégio Conselho Superior da Defensoria Pública na 131ª Sessão Ordinária, realizada no dia 07 de novembro de 2016;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Web"/>
        <w:spacing w:lineRule="auto" w:line="240" w:beforeAutospacing="0" w:before="0" w:afterAutospacing="0" w:after="0"/>
        <w:ind w:hanging="0"/>
        <w:jc w:val="both"/>
        <w:rPr>
          <w:b w:val="false"/>
          <w:b w:val="false"/>
          <w:bCs w:val="false"/>
        </w:rPr>
      </w:pPr>
      <w:r>
        <w:rPr>
          <w:rFonts w:cs="Arial" w:ascii="Arial" w:hAnsi="Arial"/>
          <w:b w:val="false"/>
          <w:bCs w:val="false"/>
        </w:rPr>
        <w:t xml:space="preserve">RESOLVE: </w:t>
      </w:r>
    </w:p>
    <w:p>
      <w:pPr>
        <w:pStyle w:val="NormalWeb"/>
        <w:spacing w:lineRule="auto" w:line="240" w:beforeAutospacing="0" w:before="0" w:afterAutospacing="0" w:after="0"/>
        <w:ind w:firstLine="1418"/>
        <w:jc w:val="both"/>
        <w:rPr>
          <w:rFonts w:ascii="Arial" w:hAnsi="Arial" w:cs="Arial"/>
          <w:b w:val="false"/>
          <w:b w:val="false"/>
          <w:bCs w:val="false"/>
        </w:rPr>
      </w:pPr>
      <w:r>
        <w:rPr>
          <w:rFonts w:cs="Arial" w:ascii="Arial" w:hAnsi="Arial"/>
          <w:b w:val="false"/>
          <w:bCs w:val="false"/>
        </w:rPr>
      </w:r>
    </w:p>
    <w:p>
      <w:pPr>
        <w:pStyle w:val="Normal"/>
        <w:spacing w:lineRule="auto" w:line="240" w:before="0" w:after="0"/>
        <w:jc w:val="both"/>
        <w:rPr>
          <w:b w:val="false"/>
          <w:b w:val="false"/>
          <w:bCs w:val="false"/>
        </w:rPr>
      </w:pPr>
      <w:r>
        <w:rPr>
          <w:rFonts w:eastAsia="Times New Roman" w:cs="Times New Roman" w:ascii="Arial" w:hAnsi="Arial"/>
          <w:b w:val="false"/>
          <w:bCs w:val="false"/>
          <w:color w:val="000000"/>
          <w:sz w:val="24"/>
          <w:szCs w:val="24"/>
        </w:rPr>
        <w:t>Art. 1º Aprovar a Instrução Normativa CSDP Nº 01/2016, nos exatos termos da Instrução Normativa Conjunta 02/2016, publicada no D.O.E. de 08/08/2016, conforme Anexo Único desta Resolução.</w:t>
      </w:r>
    </w:p>
    <w:p>
      <w:pPr>
        <w:pStyle w:val="Normal"/>
        <w:spacing w:lineRule="auto" w:line="240" w:before="0" w:after="0"/>
        <w:jc w:val="both"/>
        <w:rPr>
          <w:rFonts w:ascii="Arial" w:hAnsi="Arial" w:eastAsia="Times New Roman" w:cs="Times New Roman"/>
          <w:b w:val="false"/>
          <w:b w:val="false"/>
          <w:bCs w:val="false"/>
          <w:color w:val="000000"/>
          <w:sz w:val="24"/>
          <w:szCs w:val="24"/>
        </w:rPr>
      </w:pPr>
      <w:r>
        <w:rPr>
          <w:rFonts w:eastAsia="Times New Roman" w:cs="Times New Roman" w:ascii="Arial" w:hAnsi="Arial"/>
          <w:b w:val="false"/>
          <w:bCs w:val="false"/>
          <w:color w:val="000000"/>
          <w:sz w:val="24"/>
          <w:szCs w:val="24"/>
        </w:rPr>
      </w:r>
    </w:p>
    <w:p>
      <w:pPr>
        <w:pStyle w:val="Normal"/>
        <w:widowControl/>
        <w:suppressAutoHyphens w:val="true"/>
        <w:bidi w:val="0"/>
        <w:spacing w:lineRule="auto" w:line="240" w:before="0" w:after="0"/>
        <w:ind w:left="0" w:right="0" w:hanging="0"/>
        <w:jc w:val="both"/>
        <w:rPr>
          <w:b w:val="false"/>
          <w:b w:val="false"/>
          <w:bCs w:val="false"/>
        </w:rPr>
      </w:pPr>
      <w:r>
        <w:rPr>
          <w:rFonts w:cs="Times New Roman" w:ascii="Arial" w:hAnsi="Arial"/>
          <w:b w:val="false"/>
          <w:bCs w:val="false"/>
          <w:i w:val="false"/>
          <w:iCs w:val="false"/>
          <w:sz w:val="24"/>
          <w:szCs w:val="24"/>
        </w:rPr>
        <w:t>Art. 2º Esta Resolução entra em vigor na data de sua publicação.</w:t>
      </w:r>
    </w:p>
    <w:p>
      <w:pPr>
        <w:pStyle w:val="Normal"/>
        <w:widowControl/>
        <w:suppressAutoHyphens w:val="true"/>
        <w:bidi w:val="0"/>
        <w:spacing w:lineRule="auto" w:line="240" w:before="0" w:after="0"/>
        <w:ind w:left="0" w:right="0" w:hanging="0"/>
        <w:jc w:val="both"/>
        <w:rPr>
          <w:rFonts w:ascii="Arial" w:hAnsi="Arial" w:cs="Times New Roman"/>
          <w:i w:val="false"/>
          <w:i w:val="false"/>
          <w:iCs w:val="false"/>
          <w:sz w:val="24"/>
          <w:szCs w:val="24"/>
        </w:rPr>
      </w:pPr>
      <w:r>
        <w:rPr>
          <w:rFonts w:cs="Times New Roman" w:ascii="Arial" w:hAnsi="Arial"/>
          <w:i w:val="false"/>
          <w:iCs w:val="false"/>
          <w:sz w:val="24"/>
          <w:szCs w:val="24"/>
        </w:rPr>
      </w:r>
    </w:p>
    <w:p>
      <w:pPr>
        <w:pStyle w:val="Normal"/>
        <w:spacing w:lineRule="auto" w:line="240" w:before="0" w:after="0"/>
        <w:jc w:val="both"/>
        <w:rPr/>
      </w:pPr>
      <w:r>
        <w:rPr>
          <w:rFonts w:eastAsia="Times New Roman" w:cs="Arial" w:ascii="Arial" w:hAnsi="Arial"/>
          <w:sz w:val="24"/>
          <w:szCs w:val="24"/>
        </w:rPr>
        <w:t xml:space="preserve">Sala de reuniões do Conselho Superior da Defensoria Pública do Estado, aos sete dias do mês de novembro do ano de dois mil e dezesseis.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VLADIMIR AUGUSTO DE CARVALHO LOBO E AVELINO KOENIG</w:t>
      </w:r>
    </w:p>
    <w:p>
      <w:pPr>
        <w:pStyle w:val="Normal"/>
        <w:spacing w:lineRule="auto" w:line="240" w:before="0" w:after="0"/>
        <w:jc w:val="both"/>
        <w:rPr/>
      </w:pPr>
      <w:r>
        <w:rPr>
          <w:rFonts w:cs="Arial" w:ascii="Arial" w:hAnsi="Arial"/>
          <w:color w:val="000000"/>
          <w:sz w:val="24"/>
          <w:szCs w:val="24"/>
        </w:rPr>
        <w:t>Presidente do Conselho, em exercício</w:t>
      </w:r>
    </w:p>
    <w:p>
      <w:pPr>
        <w:pStyle w:val="Normal"/>
        <w:spacing w:lineRule="auto" w:line="240" w:before="0" w:after="0"/>
        <w:jc w:val="both"/>
        <w:rPr/>
      </w:pPr>
      <w:r>
        <w:rPr>
          <w:rFonts w:cs="Arial" w:ascii="Arial" w:hAnsi="Arial"/>
          <w:color w:val="000000"/>
          <w:sz w:val="24"/>
          <w:szCs w:val="24"/>
        </w:rPr>
        <w:t>Subdefensor Público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ANTÔNIO CARLOS DE ANDRADE MONTEIRO</w:t>
      </w:r>
    </w:p>
    <w:p>
      <w:pPr>
        <w:pStyle w:val="Normal"/>
        <w:spacing w:lineRule="auto" w:line="240" w:before="0" w:after="0"/>
        <w:jc w:val="both"/>
        <w:rPr/>
      </w:pPr>
      <w:r>
        <w:rPr>
          <w:rFonts w:cs="Arial" w:ascii="Arial" w:hAnsi="Arial"/>
          <w:color w:val="000000"/>
          <w:sz w:val="24"/>
          <w:szCs w:val="24"/>
        </w:rPr>
        <w:t>Corregedor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LÉA CRISTINA BAPTISTA DE SIQUEIRA DE VASCONCELOS SERRA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JOSÉ ROBERTO DA COSTA MARTINS</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FERNANDO ALBUQUERQUE DE OLIVEIRA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Western"/>
        <w:spacing w:lineRule="auto" w:line="240" w:before="0" w:after="0"/>
        <w:jc w:val="both"/>
        <w:rPr/>
      </w:pPr>
      <w:r>
        <w:rPr>
          <w:rFonts w:cs="Arial" w:ascii="Arial" w:hAnsi="Arial"/>
          <w:sz w:val="24"/>
          <w:szCs w:val="24"/>
        </w:rPr>
        <w:t>MARCO AURÉLIO VELLOZO GUTERRES</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 xml:space="preserve">FRANCISCO ROBÉRIO CAVALCANTE PINHEIRO FILHO </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WALTER AUGUSTO BARRETO TEIXEIRA</w:t>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Membro Titular</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center"/>
        <w:rPr>
          <w:b/>
          <w:b/>
          <w:bCs/>
        </w:rPr>
      </w:pPr>
      <w:r>
        <w:rPr>
          <w:rFonts w:eastAsia="Times New Roman" w:cs="Times New Roman" w:ascii="Arial" w:hAnsi="Arial"/>
          <w:b/>
          <w:bCs/>
          <w:i w:val="false"/>
          <w:iCs w:val="false"/>
          <w:color w:val="000000"/>
          <w:sz w:val="24"/>
          <w:szCs w:val="24"/>
        </w:rPr>
        <w:t>ANEXO ÚNICO DA RESOLUÇÃO CSDP Nº 174, DE 07 DE NOVEMBRO DE 2016</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Western"/>
        <w:widowControl/>
        <w:suppressAutoHyphens w:val="true"/>
        <w:bidi w:val="0"/>
        <w:spacing w:lineRule="auto" w:line="240" w:before="0" w:after="0"/>
        <w:ind w:left="0" w:right="0" w:hanging="0"/>
        <w:jc w:val="both"/>
        <w:rPr>
          <w:b/>
          <w:b/>
          <w:bCs/>
          <w:i w:val="false"/>
          <w:i w:val="false"/>
          <w:iCs w:val="false"/>
        </w:rPr>
      </w:pPr>
      <w:r>
        <w:rPr>
          <w:rFonts w:eastAsia="Times New Roman" w:cs="Times New Roman" w:ascii="Arial" w:hAnsi="Arial"/>
          <w:b/>
          <w:bCs/>
          <w:i w:val="false"/>
          <w:iCs w:val="false"/>
          <w:color w:val="000000"/>
          <w:sz w:val="24"/>
          <w:szCs w:val="24"/>
        </w:rPr>
        <w:t>IN-CSDP Nº 01, de 07 de novembro de 2016.</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3969" w:right="0" w:hanging="0"/>
        <w:jc w:val="both"/>
        <w:rPr/>
      </w:pPr>
      <w:r>
        <w:rPr>
          <w:rFonts w:eastAsia="Times New Roman" w:cs="Times New Roman" w:ascii="Arial" w:hAnsi="Arial"/>
          <w:i w:val="false"/>
          <w:iCs w:val="false"/>
          <w:color w:val="000000"/>
          <w:sz w:val="24"/>
          <w:szCs w:val="24"/>
        </w:rPr>
        <w:t>Dispõe sobre a fixação de dias para atendimento e prática de atos judiciais pelas Defensorias Públicas do Estado do Pará.</w:t>
      </w:r>
    </w:p>
    <w:p>
      <w:pPr>
        <w:pStyle w:val="Western"/>
        <w:widowControl/>
        <w:suppressAutoHyphens w:val="true"/>
        <w:bidi w:val="0"/>
        <w:spacing w:lineRule="auto" w:line="240" w:before="0" w:after="0"/>
        <w:ind w:left="3969"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Art. 1º Os Defensores Públicos deverão propor aos Juízos perante os quais oficiem a CONCENTRAÇÃO e/ou PREFERÊNCIA de feitos e/ou atos processuais de atribuição da Defensoria Pública em determinados horários e dias da semana, especialmente quando em exercício cumulativo de suas atribuições em mais de uma Defensoria Pública, sempre objetivando a racionalização dos serviços e a efetivação dos princípios da eficiência, economicidade, razoabilidade e proporcionalidade.</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 1º Para efetivação do previsto no caput, os membros da Defensoria Pública do Estado do Pará deverão, de acordo com suas atribuições e demandas de atividades judiciais e extrajudiciais, dividir os dias da semana em dias de atendimento e dias para prática de atos processuais judiciais ou administrativos, criando pauta pública para conhecimento do público em geral.</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 2º A pauta para prática de atos processuais deverá ser imediatamente encaminhada a todos os Juízos em que o Defensor Público atue, solicitando que os mesmos, dentro de suas possibilidades, concentrem os atos processuais em que oficie a Defensoria Pública nos mesmos dias e em horário corrido de acordo com o Ofício Circular nº 085/2015-DA/CJRMB, bem como solicitando desde já a justificativa da ausência da Defensoria Pública nos dias em que os atos processuais em que a Defensoria Pública atuar coincidirem com os dias destinados ao atendimento do público.</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 3º A pauta de atendimento ao público deverá ser afixada no prédio da respectiva Defensoria Pública, em local de fácil visualização.</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Art. 2º As pautas de atendimento e prática de atos processuais, assim como os</w:t>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expedientes encaminhados aos juízos em que oficiem deverão ser encaminhadas a Defensoria Pública Geral e Corregedoria Geral no prazo de 30 (trinta) dias após a publicação da presente instrução.</w:t>
      </w:r>
    </w:p>
    <w:sectPr>
      <w:headerReference w:type="default" r:id="rId2"/>
      <w:type w:val="nextPage"/>
      <w:pgSz w:w="11906" w:h="16838"/>
      <w:pgMar w:left="1701" w:right="1701" w:header="680" w:top="2438" w:footer="0" w:bottom="10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pPr>
    <w:r>
      <w:rPr>
        <w:rFonts w:ascii="Arial" w:hAnsi="Arial"/>
        <w:b/>
        <w:bCs/>
        <w:sz w:val="22"/>
        <w:szCs w:val="22"/>
      </w:rPr>
      <w:t>CONSELHO SUPERIOR</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Application>LibreOffice/5.0.6.3$Windows_x86 LibreOffice_project/490fc03b25318460cfc54456516ea2519c11d1aa</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2016-11-29T13:24:46Z</cp:lastPrinted>
  <dcterms:modified xsi:type="dcterms:W3CDTF">2016-11-29T13:24:50Z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